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bookmarkStart w:id="0" w:name="_GoBack"/>
            <w:bookmarkEnd w:id="0"/>
            <w:r>
              <w:rPr>
                <w:b/>
                <w:bCs/>
                <w:lang w:val="sr-Cyrl-RS"/>
              </w:rPr>
              <w:t xml:space="preserve">Студијски програм: </w:t>
            </w:r>
            <w:r>
              <w:rPr>
                <w:lang w:val="sr-Cyrl-RS"/>
              </w:rPr>
              <w:t>Основне академске студије с</w:t>
            </w:r>
            <w:r>
              <w:t>оциологијe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Назив предмета: </w:t>
            </w:r>
            <w:r>
              <w:rPr>
                <w:bCs/>
                <w:lang w:val="sr-Cyrl-RS"/>
              </w:rPr>
              <w:t>Социологија рода и сексуалности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Наставник: </w:t>
            </w:r>
            <w:r>
              <w:rPr>
                <w:bCs/>
                <w:lang w:val="sr-Cyrl-RS"/>
              </w:rPr>
              <w:t>Милош М. Јовановић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Статус предмета: </w:t>
            </w:r>
            <w:r>
              <w:rPr>
                <w:bCs/>
                <w:lang w:val="sr-Cyrl-RS"/>
              </w:rPr>
              <w:t>обавезни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Број ЕСПБ: </w:t>
            </w:r>
            <w:r>
              <w:rPr>
                <w:bCs/>
                <w:lang w:val="sr-Cyrl-RS"/>
              </w:rPr>
              <w:t>5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>
              <w:rPr>
                <w:b/>
                <w:bCs/>
                <w:lang w:val="sr-Cyrl-RS"/>
              </w:rPr>
              <w:t>Услов:</w:t>
            </w:r>
            <w:r>
              <w:t xml:space="preserve"> </w:t>
            </w:r>
            <w:r>
              <w:rPr>
                <w:lang w:val="sr-Latn-RS"/>
              </w:rPr>
              <w:t>/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60"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Циљ предмета</w:t>
            </w:r>
          </w:p>
          <w:p w:rsidR="005446AA" w:rsidRDefault="003945D9">
            <w:pPr>
              <w:tabs>
                <w:tab w:val="left" w:pos="567"/>
              </w:tabs>
              <w:spacing w:after="60"/>
              <w:jc w:val="both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 xml:space="preserve">Циљ предмета је да студенте оспособи за социолошко разумевање рода и сексуалности као историјски, културно, интеракцијски и институционално обликованих димензија друштвеног живота. Курс је усмерен на усвајање основних појмова, теоријских </w:t>
            </w:r>
            <w:r>
              <w:rPr>
                <w:bCs/>
                <w:sz w:val="18"/>
                <w:szCs w:val="18"/>
                <w:lang w:val="sr-Cyrl-RS"/>
              </w:rPr>
              <w:t>приступа и аналитичких перспектива у социологији рода и сексуалности, као и на разумевање механизама производње, одржавања и промене родних разлика, родне неједнакости и сексуалних норми. Посебна пажња посвећује се друштвеној конструкцији пола и рода, пред</w:t>
            </w:r>
            <w:r>
              <w:rPr>
                <w:bCs/>
                <w:sz w:val="18"/>
                <w:szCs w:val="18"/>
                <w:lang w:val="sr-Cyrl-RS"/>
              </w:rPr>
              <w:t>стављању и извођењу рода у свакодневној интеракцији, симболичкој доминацији, мушкостима, односу приватног и јавног у сфери сексуалности, као и тумачењу родно осетљивих статистичких и квалитативних података о савременом друштву у Србији. Циљ предмета је и р</w:t>
            </w:r>
            <w:r>
              <w:rPr>
                <w:bCs/>
                <w:sz w:val="18"/>
                <w:szCs w:val="18"/>
                <w:lang w:val="sr-Cyrl-RS"/>
              </w:rPr>
              <w:t>азвијање способности за критичку анализу дискриминације, хетеронормативности и неједнакости, уз разумевање друштвене условљености различитих родних идентитета и сексуалних оријентација.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60" w:after="60"/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Исход предмета   </w:t>
            </w:r>
            <w:r>
              <w:rPr>
                <w:i/>
                <w:iCs/>
                <w:sz w:val="18"/>
                <w:szCs w:val="18"/>
              </w:rPr>
              <w:t>Пo зaвршeнoм курсу студeнти ћe бити у стaњу дa:</w:t>
            </w:r>
          </w:p>
          <w:p w:rsidR="005446AA" w:rsidRDefault="003945D9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ind w:left="198" w:hanging="198"/>
              <w:jc w:val="both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дефи</w:t>
            </w:r>
            <w:r>
              <w:rPr>
                <w:bCs/>
                <w:sz w:val="18"/>
                <w:szCs w:val="18"/>
                <w:lang w:val="sr-Cyrl-RS"/>
              </w:rPr>
              <w:t>нишу и међусобно разликују основне појмове социологије рода и сексуалности, као што су пол, род, родни идентитет, полна категорија, сексуалност, сексуална оријентација, родни поредак, хегемони маскулинитет и симболичко насиље;</w:t>
            </w:r>
          </w:p>
          <w:p w:rsidR="005446AA" w:rsidRDefault="003945D9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ind w:left="196" w:hanging="196"/>
              <w:jc w:val="both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упореде главне социолошке при</w:t>
            </w:r>
            <w:r>
              <w:rPr>
                <w:bCs/>
                <w:sz w:val="18"/>
                <w:szCs w:val="18"/>
                <w:lang w:val="sr-Cyrl-RS"/>
              </w:rPr>
              <w:t>ступе проучавању рода и сексуалности и објасне њихове аналитичке домете и ограничења;</w:t>
            </w:r>
          </w:p>
          <w:p w:rsidR="005446AA" w:rsidRDefault="003945D9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ind w:left="196" w:hanging="196"/>
              <w:jc w:val="both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објасне како се род и сексуалност друштвено конструишу, представљају, изводе и регулишу у свакодневној интеракцији, институцијама и дискурсима и кроз телесне праксе;</w:t>
            </w:r>
          </w:p>
          <w:p w:rsidR="005446AA" w:rsidRDefault="003945D9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ind w:left="196" w:hanging="196"/>
              <w:jc w:val="both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анализирају социјалне и културне механизме репродукције родне неједнакости, посебно кроз родну социјализацију, симболичку доминацију, хетеронормативност и институционалне аранжмане;</w:t>
            </w:r>
          </w:p>
          <w:p w:rsidR="005446AA" w:rsidRDefault="003945D9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ind w:left="196" w:hanging="196"/>
              <w:jc w:val="both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тумаче везе између рода и сексуалности, као и историјске и савремене облик</w:t>
            </w:r>
            <w:r>
              <w:rPr>
                <w:bCs/>
                <w:sz w:val="18"/>
                <w:szCs w:val="18"/>
                <w:lang w:val="sr-Cyrl-RS"/>
              </w:rPr>
              <w:t>е уређивања сексуалности у односу приватног и јавног;</w:t>
            </w:r>
          </w:p>
          <w:p w:rsidR="005446AA" w:rsidRDefault="003945D9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ind w:left="198" w:hanging="198"/>
              <w:contextualSpacing w:val="0"/>
              <w:jc w:val="both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тумаче и критички користе родно осетљиве статистичке и квалитативне податке о положају жена и мушкараца у Србији;</w:t>
            </w:r>
          </w:p>
          <w:p w:rsidR="005446AA" w:rsidRDefault="003945D9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after="60"/>
              <w:ind w:left="196" w:hanging="196"/>
              <w:jc w:val="both"/>
              <w:rPr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примене појмовни и аналитички апарат социологије рода и сексуалности на анализу конкретн</w:t>
            </w:r>
            <w:r>
              <w:rPr>
                <w:bCs/>
                <w:sz w:val="18"/>
                <w:szCs w:val="18"/>
                <w:lang w:val="sr-Cyrl-RS"/>
              </w:rPr>
              <w:t>их друштвених појава, студија случаја, медијских садржаја и јавних расправа, те критички процене могућности и границе промене постојећих родних и сексуалних поредака.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before="60" w:after="6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Садржај предмета</w:t>
            </w:r>
          </w:p>
          <w:p w:rsidR="005446AA" w:rsidRDefault="003945D9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i/>
                <w:iCs/>
                <w:lang w:val="sr-Cyrl-RS"/>
              </w:rPr>
              <w:t>Теоријска настава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 xml:space="preserve">Увод у социологију рода и сексуалности: предмет и </w:t>
            </w:r>
            <w:r>
              <w:rPr>
                <w:iCs/>
                <w:sz w:val="18"/>
                <w:szCs w:val="18"/>
                <w:lang w:val="sr-Cyrl-RS"/>
              </w:rPr>
              <w:t>основни појмови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Пол и род: биолошке разлике, социјализација и друштвена конструкција пола и рода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Главни социолошки приступи родној неједнакости: функционалистичка, феминистичка и савремена социолошка становишта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Родни поредак, родни режими, женскости и мушк</w:t>
            </w:r>
            <w:r>
              <w:rPr>
                <w:iCs/>
                <w:sz w:val="18"/>
                <w:szCs w:val="18"/>
                <w:lang w:val="sr-Cyrl-RS"/>
              </w:rPr>
              <w:t>ости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Род као представљање у свакодневној интеракцији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Род као извођење: полна категорија, ситуационо понашање и етнометодолошка перспектива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Друштвено постизање полног/родног статуса и границе нормализације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Симболичка доминација: друштвена конструкција тела,</w:t>
            </w:r>
            <w:r>
              <w:rPr>
                <w:iCs/>
                <w:sz w:val="18"/>
                <w:szCs w:val="18"/>
                <w:lang w:val="sr-Cyrl-RS"/>
              </w:rPr>
              <w:t xml:space="preserve"> родни хабитус и мушка доминација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Натурализација, деисторизација и репродукција родне неједнакости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Социологија сексуалности: друштвени утицаји на сексуално понашање и социокултурно уређивање сексуалности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Сексуалност између приватног и јавног: историјска пе</w:t>
            </w:r>
            <w:r>
              <w:rPr>
                <w:iCs/>
                <w:sz w:val="18"/>
                <w:szCs w:val="18"/>
                <w:lang w:val="sr-Cyrl-RS"/>
              </w:rPr>
              <w:t>рспектива Србије и Југославије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Хомосексуалност, хетеронормативност, стигма и друштвене промене у Србији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Сексуални капитал, неолиберална сексуалност и тржишта интимности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Родно осетљива статистика и емпиријска анализа родних неједнакости у Србији</w:t>
            </w:r>
          </w:p>
          <w:p w:rsidR="005446AA" w:rsidRDefault="003945D9">
            <w:pPr>
              <w:pStyle w:val="ListParagraph"/>
              <w:numPr>
                <w:ilvl w:val="0"/>
                <w:numId w:val="8"/>
              </w:numPr>
              <w:tabs>
                <w:tab w:val="left" w:pos="338"/>
              </w:tabs>
              <w:ind w:left="340" w:hanging="227"/>
              <w:rPr>
                <w:iCs/>
                <w:sz w:val="18"/>
                <w:szCs w:val="18"/>
                <w:lang w:val="sr-Cyrl-RS"/>
              </w:rPr>
            </w:pPr>
            <w:r>
              <w:rPr>
                <w:iCs/>
                <w:sz w:val="18"/>
                <w:szCs w:val="18"/>
                <w:lang w:val="sr-Cyrl-RS"/>
              </w:rPr>
              <w:t>Родни режим</w:t>
            </w:r>
            <w:r>
              <w:rPr>
                <w:iCs/>
                <w:sz w:val="18"/>
                <w:szCs w:val="18"/>
                <w:lang w:val="sr-Cyrl-RS"/>
              </w:rPr>
              <w:t>и на полупериферији: партнерство, родитељство, мушкости, сексуалност и насиље у савременој Србији</w:t>
            </w:r>
          </w:p>
          <w:p w:rsidR="005446AA" w:rsidRDefault="003945D9">
            <w:pPr>
              <w:tabs>
                <w:tab w:val="left" w:pos="567"/>
              </w:tabs>
              <w:spacing w:before="120" w:after="120"/>
              <w:rPr>
                <w:lang w:val="sr-Cyrl-RS"/>
              </w:rPr>
            </w:pPr>
            <w:r>
              <w:rPr>
                <w:i/>
                <w:iCs/>
                <w:lang w:val="sr-Cyrl-RS"/>
              </w:rPr>
              <w:t>Практична настава</w:t>
            </w:r>
            <w:r>
              <w:rPr>
                <w:i/>
                <w:iCs/>
                <w:sz w:val="18"/>
                <w:lang w:val="sr-Latn-RS"/>
              </w:rPr>
              <w:t>:</w:t>
            </w:r>
            <w:r>
              <w:rPr>
                <w:i/>
                <w:iCs/>
                <w:sz w:val="18"/>
                <w:lang w:val="sr-Cyrl-RS"/>
              </w:rPr>
              <w:t xml:space="preserve"> </w:t>
            </w:r>
            <w:r>
              <w:t>Вежбе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  <w:lang w:val="sr-Cyrl-RS"/>
              </w:rPr>
              <w:t xml:space="preserve">презентације, </w:t>
            </w:r>
            <w:r>
              <w:rPr>
                <w:sz w:val="18"/>
              </w:rPr>
              <w:t>анализа текстова</w:t>
            </w:r>
            <w:r>
              <w:rPr>
                <w:sz w:val="18"/>
                <w:lang w:val="sr-Cyrl-RS"/>
              </w:rPr>
              <w:t xml:space="preserve"> и аудио-видео материјала, дискусије)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spacing w:before="60" w:after="60"/>
              <w:ind w:left="720" w:hanging="720"/>
              <w:rPr>
                <w:sz w:val="22"/>
                <w:szCs w:val="22"/>
              </w:rPr>
            </w:pPr>
            <w:r>
              <w:rPr>
                <w:b/>
                <w:bCs/>
                <w:lang w:val="sr-Cyrl-RS"/>
              </w:rPr>
              <w:t>Литература</w:t>
            </w:r>
            <w:r>
              <w:rPr>
                <w:sz w:val="18"/>
                <w:szCs w:val="18"/>
              </w:rPr>
              <w:t xml:space="preserve"> (укупно: 424 страницe)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 xml:space="preserve">Ентони Гиденс · </w:t>
            </w:r>
            <w:r>
              <w:rPr>
                <w:bCs/>
                <w:i/>
                <w:sz w:val="18"/>
                <w:szCs w:val="18"/>
                <w:lang w:val="sr-Cyrl-RS"/>
              </w:rPr>
              <w:t>Социологија</w:t>
            </w:r>
            <w:r>
              <w:rPr>
                <w:bCs/>
                <w:sz w:val="18"/>
                <w:szCs w:val="18"/>
                <w:lang w:val="sr-Cyrl-RS"/>
              </w:rPr>
              <w:t xml:space="preserve"> (Београд: Економски факултет, 2003), поглавље: „Род и сексуалност“, стр. 116–145.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Предраг Ј. Марковић · „Сексуалност између приватног и јавног у 20. веку“</w:t>
            </w:r>
            <w:r>
              <w:rPr>
                <w:bCs/>
                <w:sz w:val="18"/>
                <w:szCs w:val="18"/>
                <w:lang w:val="sr-Latn-RS"/>
              </w:rPr>
              <w:t xml:space="preserve">, </w:t>
            </w:r>
            <w:r>
              <w:rPr>
                <w:bCs/>
                <w:sz w:val="18"/>
                <w:szCs w:val="18"/>
                <w:lang w:val="sr-Cyrl-RS"/>
              </w:rPr>
              <w:t xml:space="preserve">у: Милан Ристовић (прир.) </w:t>
            </w:r>
            <w:r>
              <w:rPr>
                <w:bCs/>
                <w:i/>
                <w:sz w:val="18"/>
                <w:szCs w:val="18"/>
                <w:lang w:val="sr-Cyrl-RS"/>
              </w:rPr>
              <w:t>Приватни живот код Срба у двадесетом веку</w:t>
            </w:r>
            <w:r>
              <w:rPr>
                <w:bCs/>
                <w:sz w:val="18"/>
                <w:szCs w:val="18"/>
                <w:lang w:val="sr-Cyrl-RS"/>
              </w:rPr>
              <w:t xml:space="preserve"> (Београд: CLIO, 2007), стр. 101</w:t>
            </w:r>
            <w:r>
              <w:rPr>
                <w:bCs/>
                <w:sz w:val="18"/>
                <w:szCs w:val="18"/>
                <w:lang w:val="sr-Cyrl-RS"/>
              </w:rPr>
              <w:t>–128.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 xml:space="preserve">Милош Јовановић · „Хомосексуалност и друштво у Србији 2000-их“, у: </w:t>
            </w:r>
            <w:r>
              <w:rPr>
                <w:bCs/>
                <w:i/>
                <w:sz w:val="18"/>
                <w:szCs w:val="18"/>
                <w:lang w:val="sr-Cyrl-RS"/>
              </w:rPr>
              <w:t>Идентитет, религиозност, сексуалност: проблем идентитета религиозних ЛГБТ особа у Србији</w:t>
            </w:r>
            <w:r>
              <w:rPr>
                <w:bCs/>
                <w:sz w:val="18"/>
                <w:szCs w:val="18"/>
                <w:lang w:val="sr-Cyrl-RS"/>
              </w:rPr>
              <w:t xml:space="preserve"> (Нови Сад: </w:t>
            </w:r>
            <w:r>
              <w:rPr>
                <w:bCs/>
                <w:sz w:val="18"/>
                <w:szCs w:val="18"/>
                <w:lang w:val="en-US"/>
              </w:rPr>
              <w:t>Mediterran</w:t>
            </w:r>
            <w:r>
              <w:rPr>
                <w:bCs/>
                <w:sz w:val="18"/>
                <w:szCs w:val="18"/>
                <w:lang w:val="sr-Cyrl-RS"/>
              </w:rPr>
              <w:t xml:space="preserve"> </w:t>
            </w:r>
            <w:r>
              <w:rPr>
                <w:bCs/>
                <w:sz w:val="18"/>
                <w:szCs w:val="18"/>
                <w:lang w:val="en-US"/>
              </w:rPr>
              <w:t>Publishing</w:t>
            </w:r>
            <w:r>
              <w:rPr>
                <w:bCs/>
                <w:sz w:val="18"/>
                <w:szCs w:val="18"/>
                <w:lang w:val="sr-Cyrl-RS"/>
              </w:rPr>
              <w:t>, 2016), стр. 55–86.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 xml:space="preserve">Марина Благојевић Хјусон · </w:t>
            </w:r>
            <w:r>
              <w:rPr>
                <w:bCs/>
                <w:i/>
                <w:sz w:val="18"/>
                <w:szCs w:val="18"/>
                <w:lang w:val="sr-Cyrl-RS"/>
              </w:rPr>
              <w:t xml:space="preserve">Жене и </w:t>
            </w:r>
            <w:r>
              <w:rPr>
                <w:bCs/>
                <w:i/>
                <w:sz w:val="18"/>
                <w:szCs w:val="18"/>
                <w:lang w:val="sr-Cyrl-RS"/>
              </w:rPr>
              <w:t>мушкарци у Србији: шта нам говоре бројеви?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>
              <w:rPr>
                <w:bCs/>
                <w:sz w:val="18"/>
                <w:szCs w:val="18"/>
                <w:lang w:val="sr-Cyrl-RS"/>
              </w:rPr>
              <w:t>(Београд: Програм Уједињених нација за развој, 2012), стр. 9–73.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sr-Latn-RS"/>
              </w:rPr>
            </w:pPr>
            <w:r>
              <w:rPr>
                <w:bCs/>
                <w:sz w:val="18"/>
                <w:szCs w:val="18"/>
                <w:lang w:val="sr-Latn-RS"/>
              </w:rPr>
              <w:lastRenderedPageBreak/>
              <w:t xml:space="preserve">Marina Hughson </w:t>
            </w:r>
            <w:r>
              <w:rPr>
                <w:bCs/>
                <w:sz w:val="18"/>
                <w:szCs w:val="18"/>
                <w:lang w:val="sr-Cyrl-RS"/>
              </w:rPr>
              <w:t>·</w:t>
            </w:r>
            <w:r>
              <w:rPr>
                <w:bCs/>
                <w:sz w:val="18"/>
                <w:szCs w:val="18"/>
                <w:lang w:val="sr-Latn-RS"/>
              </w:rPr>
              <w:t xml:space="preserve"> </w:t>
            </w:r>
            <w:r>
              <w:rPr>
                <w:bCs/>
                <w:i/>
                <w:sz w:val="18"/>
                <w:szCs w:val="18"/>
                <w:lang w:val="sr-Latn-RS"/>
              </w:rPr>
              <w:t>Muškarci u Srbiji: promene, otpori i izazovi : rezultati istraživanja o muškarcima i rodnoj ravnopravnosti</w:t>
            </w:r>
            <w:r>
              <w:rPr>
                <w:bCs/>
                <w:i/>
                <w:sz w:val="18"/>
                <w:szCs w:val="18"/>
                <w:lang w:val="sr-Cyrl-RS"/>
              </w:rPr>
              <w:t xml:space="preserve"> – </w:t>
            </w:r>
            <w:r>
              <w:rPr>
                <w:bCs/>
                <w:i/>
                <w:sz w:val="18"/>
                <w:szCs w:val="18"/>
                <w:lang w:val="sr-Latn-RS"/>
              </w:rPr>
              <w:t>IMAGES Srbija</w:t>
            </w:r>
            <w:r>
              <w:rPr>
                <w:bCs/>
                <w:sz w:val="18"/>
                <w:szCs w:val="18"/>
                <w:lang w:val="sr-Latn-RS"/>
              </w:rPr>
              <w:t xml:space="preserve"> (Beograd</w:t>
            </w:r>
            <w:r>
              <w:rPr>
                <w:bCs/>
                <w:sz w:val="18"/>
                <w:szCs w:val="18"/>
                <w:lang w:val="sr-Latn-RS"/>
              </w:rPr>
              <w:t>: Centar E8, 2018), str. 14–20, 48–51, 58–61, 64–67, 70–75, 102–104, 108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it-IT"/>
              </w:rPr>
              <w:t>Marina</w:t>
            </w:r>
            <w:r>
              <w:rPr>
                <w:bCs/>
                <w:sz w:val="18"/>
                <w:szCs w:val="18"/>
                <w:lang w:val="sr-Cyrl-CS"/>
              </w:rPr>
              <w:t xml:space="preserve"> </w:t>
            </w:r>
            <w:r>
              <w:rPr>
                <w:bCs/>
                <w:sz w:val="18"/>
                <w:szCs w:val="18"/>
                <w:lang w:val="it-IT"/>
              </w:rPr>
              <w:t>Hughson</w:t>
            </w:r>
            <w:r>
              <w:rPr>
                <w:bCs/>
                <w:sz w:val="18"/>
                <w:szCs w:val="18"/>
                <w:lang w:val="sr-Cyrl-CS"/>
              </w:rPr>
              <w:t xml:space="preserve"> · „De/konstrukcija muškog identiteta“, </w:t>
            </w:r>
            <w:r>
              <w:rPr>
                <w:bCs/>
                <w:sz w:val="18"/>
                <w:szCs w:val="18"/>
                <w:lang w:val="en-US"/>
              </w:rPr>
              <w:t>u</w:t>
            </w:r>
            <w:r>
              <w:rPr>
                <w:bCs/>
                <w:sz w:val="18"/>
                <w:szCs w:val="18"/>
                <w:lang w:val="sr-Cyrl-RS"/>
              </w:rPr>
              <w:t xml:space="preserve">: </w:t>
            </w:r>
            <w:r>
              <w:rPr>
                <w:bCs/>
                <w:i/>
                <w:sz w:val="18"/>
                <w:szCs w:val="18"/>
                <w:lang w:val="it-IT"/>
              </w:rPr>
              <w:t>Mu</w:t>
            </w:r>
            <w:r>
              <w:rPr>
                <w:bCs/>
                <w:i/>
                <w:sz w:val="18"/>
                <w:szCs w:val="18"/>
                <w:lang w:val="sr-Latn-RS"/>
              </w:rPr>
              <w:t xml:space="preserve">škarci u Srbiji: druga strana rodne (ne)ravnopravnosti </w:t>
            </w:r>
            <w:r>
              <w:rPr>
                <w:bCs/>
                <w:sz w:val="18"/>
                <w:szCs w:val="18"/>
                <w:lang w:val="sr-Latn-RS"/>
              </w:rPr>
              <w:t xml:space="preserve">(Beograd: </w:t>
            </w:r>
            <w:r>
              <w:rPr>
                <w:bCs/>
                <w:sz w:val="18"/>
                <w:szCs w:val="18"/>
                <w:lang w:val="en-US"/>
              </w:rPr>
              <w:t>I</w:t>
            </w:r>
            <w:r>
              <w:rPr>
                <w:bCs/>
                <w:sz w:val="18"/>
                <w:szCs w:val="18"/>
                <w:lang w:val="sr-Cyrl-RS"/>
              </w:rPr>
              <w:t>nstitut za kriminološka i sociološka istraživanja</w:t>
            </w:r>
            <w:r>
              <w:rPr>
                <w:bCs/>
                <w:sz w:val="18"/>
                <w:szCs w:val="18"/>
                <w:lang w:val="sr-Latn-RS"/>
              </w:rPr>
              <w:t>, 2017</w:t>
            </w:r>
            <w:r>
              <w:rPr>
                <w:bCs/>
                <w:sz w:val="18"/>
                <w:szCs w:val="18"/>
                <w:lang w:val="sr-Cyrl-RS"/>
              </w:rPr>
              <w:t xml:space="preserve">), </w:t>
            </w:r>
            <w:r>
              <w:rPr>
                <w:bCs/>
                <w:sz w:val="18"/>
                <w:szCs w:val="18"/>
                <w:lang w:val="sr-Cyrl-RS"/>
              </w:rPr>
              <w:t>str. 157–185.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sr-Cyrl-RS"/>
              </w:rPr>
              <w:t>Ервинг Гофман · „Представљање рода“ (</w:t>
            </w:r>
            <w:r>
              <w:rPr>
                <w:bCs/>
                <w:sz w:val="18"/>
                <w:szCs w:val="18"/>
                <w:lang w:val="en-US"/>
              </w:rPr>
              <w:t>Erving Goffman “Gender Display”</w:t>
            </w:r>
            <w:r>
              <w:rPr>
                <w:bCs/>
                <w:sz w:val="18"/>
                <w:szCs w:val="18"/>
              </w:rPr>
              <w:t xml:space="preserve">. </w:t>
            </w:r>
            <w:r>
              <w:rPr>
                <w:bCs/>
                <w:i/>
                <w:sz w:val="18"/>
                <w:szCs w:val="18"/>
              </w:rPr>
              <w:t>Studies in the anthropology of visual communication</w:t>
            </w:r>
            <w:r>
              <w:rPr>
                <w:bCs/>
                <w:sz w:val="18"/>
                <w:szCs w:val="18"/>
              </w:rPr>
              <w:t xml:space="preserve">, 3 (2) (1976): </w:t>
            </w:r>
            <w:r>
              <w:rPr>
                <w:bCs/>
                <w:sz w:val="18"/>
                <w:szCs w:val="18"/>
                <w:lang w:val="en-US"/>
              </w:rPr>
              <w:t>69</w:t>
            </w:r>
            <w:r>
              <w:rPr>
                <w:bCs/>
                <w:sz w:val="18"/>
                <w:szCs w:val="18"/>
                <w:lang w:val="sr-Cyrl-RS"/>
              </w:rPr>
              <w:t>–</w:t>
            </w:r>
            <w:r>
              <w:rPr>
                <w:bCs/>
                <w:sz w:val="18"/>
                <w:szCs w:val="18"/>
                <w:lang w:val="en-US"/>
              </w:rPr>
              <w:t>77</w:t>
            </w:r>
            <w:r>
              <w:rPr>
                <w:bCs/>
                <w:sz w:val="18"/>
                <w:szCs w:val="18"/>
                <w:lang w:val="sr-Cyrl-RS"/>
              </w:rPr>
              <w:t>.</w:t>
            </w:r>
            <w:r>
              <w:rPr>
                <w:bCs/>
                <w:sz w:val="18"/>
                <w:szCs w:val="18"/>
                <w:lang w:val="en-US"/>
              </w:rPr>
              <w:t>)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sr-Latn-RS"/>
              </w:rPr>
            </w:pPr>
            <w:r>
              <w:rPr>
                <w:bCs/>
                <w:sz w:val="18"/>
                <w:szCs w:val="18"/>
                <w:lang w:val="sr-Latn-RS"/>
              </w:rPr>
              <w:t>Кендас Вест и Дон Цимерман · „</w:t>
            </w:r>
            <w:r>
              <w:rPr>
                <w:bCs/>
                <w:sz w:val="18"/>
                <w:szCs w:val="18"/>
                <w:lang w:val="sr-Cyrl-RS"/>
              </w:rPr>
              <w:t xml:space="preserve">Извођење рода“ </w:t>
            </w:r>
            <w:r>
              <w:rPr>
                <w:bCs/>
                <w:sz w:val="18"/>
                <w:szCs w:val="18"/>
                <w:lang w:val="en-US"/>
              </w:rPr>
              <w:t xml:space="preserve">(Candace West &amp; Don H. Zimmerman “Doing Gender”. </w:t>
            </w:r>
            <w:r>
              <w:rPr>
                <w:bCs/>
                <w:i/>
                <w:iCs/>
                <w:sz w:val="18"/>
                <w:szCs w:val="18"/>
                <w:lang w:val="sr-Latn-RS"/>
              </w:rPr>
              <w:t>Gen</w:t>
            </w:r>
            <w:r>
              <w:rPr>
                <w:bCs/>
                <w:i/>
                <w:iCs/>
                <w:sz w:val="18"/>
                <w:szCs w:val="18"/>
                <w:lang w:val="sr-Latn-RS"/>
              </w:rPr>
              <w:t>der and Society</w:t>
            </w:r>
            <w:r>
              <w:rPr>
                <w:bCs/>
                <w:sz w:val="18"/>
                <w:szCs w:val="18"/>
                <w:lang w:val="sr-Latn-RS"/>
              </w:rPr>
              <w:t>, 1 (2) (1987): 125–151.)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sr-Cyrl-RS"/>
              </w:rPr>
              <w:t xml:space="preserve">Харолд Гарфинкел · „Студија о Агнес“ (Harold Garfinkel “Passing and the Managed Achievement of Sex Status in an ‘Intersexed’ Person”, </w:t>
            </w:r>
            <w:r>
              <w:rPr>
                <w:bCs/>
                <w:sz w:val="18"/>
                <w:szCs w:val="18"/>
                <w:lang w:val="en-US"/>
              </w:rPr>
              <w:t>in</w:t>
            </w:r>
            <w:r>
              <w:rPr>
                <w:bCs/>
                <w:sz w:val="18"/>
                <w:szCs w:val="18"/>
                <w:lang w:val="sr-Cyrl-RS"/>
              </w:rPr>
              <w:t xml:space="preserve">: </w:t>
            </w:r>
            <w:r>
              <w:rPr>
                <w:bCs/>
                <w:i/>
                <w:sz w:val="18"/>
                <w:szCs w:val="18"/>
                <w:lang w:val="sr-Cyrl-RS"/>
              </w:rPr>
              <w:t>Studies in Ethnomethodology</w:t>
            </w:r>
            <w:r>
              <w:rPr>
                <w:bCs/>
                <w:sz w:val="18"/>
                <w:szCs w:val="18"/>
                <w:lang w:val="sr-Cyrl-RS"/>
              </w:rPr>
              <w:t>, Englewood Cliffs</w:t>
            </w:r>
            <w:r>
              <w:rPr>
                <w:bCs/>
                <w:sz w:val="18"/>
                <w:szCs w:val="18"/>
                <w:lang w:val="en-US"/>
              </w:rPr>
              <w:t xml:space="preserve">: </w:t>
            </w:r>
            <w:r>
              <w:rPr>
                <w:bCs/>
                <w:sz w:val="18"/>
                <w:szCs w:val="18"/>
                <w:lang w:val="sr-Cyrl-RS"/>
              </w:rPr>
              <w:t xml:space="preserve">Prentice-Hall, 1967, </w:t>
            </w:r>
            <w:r>
              <w:rPr>
                <w:bCs/>
                <w:sz w:val="18"/>
                <w:szCs w:val="18"/>
                <w:lang w:val="en-US"/>
              </w:rPr>
              <w:t>pp</w:t>
            </w:r>
            <w:r>
              <w:rPr>
                <w:bCs/>
                <w:sz w:val="18"/>
                <w:szCs w:val="18"/>
                <w:lang w:val="sr-Cyrl-RS"/>
              </w:rPr>
              <w:t>. 116</w:t>
            </w:r>
            <w:r>
              <w:rPr>
                <w:bCs/>
                <w:sz w:val="18"/>
                <w:szCs w:val="18"/>
                <w:lang w:val="en-US"/>
              </w:rPr>
              <w:t>–</w:t>
            </w:r>
            <w:r>
              <w:rPr>
                <w:bCs/>
                <w:sz w:val="18"/>
                <w:szCs w:val="18"/>
                <w:lang w:val="sr-Cyrl-RS"/>
              </w:rPr>
              <w:t>185</w:t>
            </w:r>
            <w:r>
              <w:rPr>
                <w:bCs/>
                <w:sz w:val="18"/>
                <w:szCs w:val="18"/>
                <w:lang w:val="en-US"/>
              </w:rPr>
              <w:t>.</w:t>
            </w:r>
            <w:r>
              <w:rPr>
                <w:bCs/>
                <w:sz w:val="18"/>
                <w:szCs w:val="18"/>
                <w:lang w:val="sr-Cyrl-RS"/>
              </w:rPr>
              <w:t xml:space="preserve"> </w:t>
            </w:r>
            <w:r>
              <w:rPr>
                <w:bCs/>
                <w:sz w:val="18"/>
                <w:szCs w:val="18"/>
                <w:lang w:val="en-US"/>
              </w:rPr>
              <w:t>+</w:t>
            </w:r>
            <w:r>
              <w:rPr>
                <w:bCs/>
                <w:sz w:val="18"/>
                <w:szCs w:val="18"/>
                <w:lang w:val="sr-Cyrl-RS"/>
              </w:rPr>
              <w:t xml:space="preserve"> 285</w:t>
            </w:r>
            <w:r>
              <w:rPr>
                <w:bCs/>
                <w:sz w:val="18"/>
                <w:szCs w:val="18"/>
                <w:lang w:val="en-US"/>
              </w:rPr>
              <w:t>–</w:t>
            </w:r>
            <w:r>
              <w:rPr>
                <w:bCs/>
                <w:sz w:val="18"/>
                <w:szCs w:val="18"/>
                <w:lang w:val="sr-Cyrl-RS"/>
              </w:rPr>
              <w:t>288.)</w:t>
            </w:r>
          </w:p>
          <w:p w:rsidR="005446AA" w:rsidRDefault="003945D9">
            <w:pPr>
              <w:tabs>
                <w:tab w:val="left" w:pos="567"/>
              </w:tabs>
              <w:ind w:left="621" w:hanging="621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>Дејна Каплан и Ева Илуз · „Облици сексуалног капитала – четири категорије“ (</w:t>
            </w:r>
            <w:r>
              <w:rPr>
                <w:bCs/>
                <w:i/>
                <w:sz w:val="18"/>
                <w:szCs w:val="18"/>
                <w:lang w:val="sr-Cyrl-RS"/>
              </w:rPr>
              <w:t>Годишњак за социологију</w:t>
            </w:r>
            <w:r>
              <w:rPr>
                <w:bCs/>
                <w:sz w:val="18"/>
                <w:szCs w:val="18"/>
              </w:rPr>
              <w:t xml:space="preserve">, </w:t>
            </w:r>
            <w:r>
              <w:rPr>
                <w:bCs/>
                <w:sz w:val="18"/>
                <w:szCs w:val="18"/>
                <w:lang w:val="sr-Cyrl-RS"/>
              </w:rPr>
              <w:t>18</w:t>
            </w:r>
            <w:r>
              <w:rPr>
                <w:bCs/>
                <w:sz w:val="18"/>
                <w:szCs w:val="18"/>
              </w:rPr>
              <w:t xml:space="preserve"> (</w:t>
            </w:r>
            <w:r>
              <w:rPr>
                <w:bCs/>
                <w:sz w:val="18"/>
                <w:szCs w:val="18"/>
                <w:lang w:val="sr-Cyrl-RS"/>
              </w:rPr>
              <w:t>28</w:t>
            </w:r>
            <w:r>
              <w:rPr>
                <w:bCs/>
                <w:sz w:val="18"/>
                <w:szCs w:val="18"/>
              </w:rPr>
              <w:t>) (</w:t>
            </w:r>
            <w:r>
              <w:rPr>
                <w:bCs/>
                <w:sz w:val="18"/>
                <w:szCs w:val="18"/>
                <w:lang w:val="sr-Cyrl-RS"/>
              </w:rPr>
              <w:t>2022</w:t>
            </w:r>
            <w:r>
              <w:rPr>
                <w:bCs/>
                <w:sz w:val="18"/>
                <w:szCs w:val="18"/>
              </w:rPr>
              <w:t xml:space="preserve">): </w:t>
            </w:r>
            <w:r>
              <w:rPr>
                <w:bCs/>
                <w:sz w:val="18"/>
                <w:szCs w:val="18"/>
                <w:lang w:val="sr-Cyrl-RS"/>
              </w:rPr>
              <w:t>291–323.</w:t>
            </w:r>
            <w:r>
              <w:rPr>
                <w:bCs/>
                <w:sz w:val="18"/>
                <w:szCs w:val="18"/>
                <w:lang w:val="en-US"/>
              </w:rPr>
              <w:t>)</w:t>
            </w:r>
          </w:p>
          <w:p w:rsidR="005446AA" w:rsidRDefault="003945D9">
            <w:pPr>
              <w:tabs>
                <w:tab w:val="left" w:pos="567"/>
              </w:tabs>
              <w:spacing w:after="60"/>
              <w:ind w:left="624" w:hanging="624"/>
              <w:rPr>
                <w:bCs/>
                <w:sz w:val="18"/>
                <w:szCs w:val="18"/>
                <w:lang w:val="sr-Cyrl-RS"/>
              </w:rPr>
            </w:pPr>
            <w:r>
              <w:rPr>
                <w:bCs/>
                <w:sz w:val="18"/>
                <w:szCs w:val="18"/>
                <w:lang w:val="sr-Cyrl-RS"/>
              </w:rPr>
              <w:t xml:space="preserve">Пјер Бурдије · </w:t>
            </w:r>
            <w:r>
              <w:rPr>
                <w:bCs/>
                <w:i/>
                <w:sz w:val="18"/>
                <w:szCs w:val="18"/>
                <w:lang w:val="sr-Cyrl-RS"/>
              </w:rPr>
              <w:t>Владавина мушкараца</w:t>
            </w:r>
            <w:r>
              <w:rPr>
                <w:bCs/>
                <w:sz w:val="18"/>
                <w:szCs w:val="18"/>
                <w:lang w:val="sr-Cyrl-RS"/>
              </w:rPr>
              <w:t xml:space="preserve"> (Подгорица: ЦИД, 2001), стр. </w:t>
            </w:r>
            <w:r>
              <w:rPr>
                <w:bCs/>
                <w:sz w:val="18"/>
                <w:szCs w:val="18"/>
                <w:lang w:val="sr-Latn-RS"/>
              </w:rPr>
              <w:t>5</w:t>
            </w:r>
            <w:r>
              <w:rPr>
                <w:bCs/>
                <w:sz w:val="18"/>
                <w:szCs w:val="18"/>
                <w:lang w:val="sr-Cyrl-RS"/>
              </w:rPr>
              <w:t>–</w:t>
            </w:r>
            <w:r>
              <w:rPr>
                <w:bCs/>
                <w:sz w:val="18"/>
                <w:szCs w:val="18"/>
                <w:lang w:val="sr-Latn-RS"/>
              </w:rPr>
              <w:t>75</w:t>
            </w:r>
            <w:r>
              <w:rPr>
                <w:bCs/>
                <w:sz w:val="18"/>
                <w:szCs w:val="18"/>
                <w:lang w:val="sr-Cyrl-RS"/>
              </w:rPr>
              <w:t>.</w:t>
            </w:r>
          </w:p>
          <w:p w:rsidR="005446AA" w:rsidRDefault="003945D9">
            <w:pPr>
              <w:widowControl/>
              <w:spacing w:before="120" w:after="60"/>
              <w:ind w:left="680" w:hanging="680"/>
              <w:rPr>
                <w:b/>
                <w:bCs/>
                <w:color w:val="000000"/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</w:rPr>
              <w:t>——————————————————————————————————————————————————————</w:t>
            </w:r>
          </w:p>
          <w:p w:rsidR="005446AA" w:rsidRDefault="003945D9">
            <w:pPr>
              <w:widowControl/>
              <w:spacing w:before="120" w:after="60"/>
              <w:ind w:left="680" w:hanging="680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Додатна</w:t>
            </w:r>
            <w:r>
              <w:rPr>
                <w:color w:val="000000"/>
                <w:sz w:val="18"/>
                <w:szCs w:val="18"/>
              </w:rPr>
              <w:t xml:space="preserve"> (необавезна) </w:t>
            </w:r>
            <w:r>
              <w:rPr>
                <w:b/>
                <w:bCs/>
                <w:color w:val="000000"/>
                <w:sz w:val="18"/>
                <w:szCs w:val="18"/>
              </w:rPr>
              <w:t>литература</w:t>
            </w:r>
            <w:r>
              <w:rPr>
                <w:color w:val="000000"/>
                <w:sz w:val="18"/>
                <w:szCs w:val="18"/>
              </w:rPr>
              <w:t>:</w:t>
            </w:r>
          </w:p>
          <w:p w:rsidR="005446AA" w:rsidRDefault="003945D9">
            <w:pPr>
              <w:widowControl/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i/>
                <w:iCs/>
                <w:color w:val="000000"/>
                <w:sz w:val="17"/>
                <w:szCs w:val="18"/>
              </w:rPr>
              <w:t xml:space="preserve">Жене и мушкарци у Републици Србији </w:t>
            </w:r>
            <w:r>
              <w:rPr>
                <w:color w:val="000000"/>
                <w:sz w:val="17"/>
                <w:szCs w:val="18"/>
              </w:rPr>
              <w:t>(Београд: Републички завод за статистику, 2024.)</w:t>
            </w:r>
          </w:p>
          <w:p w:rsidR="005446AA" w:rsidRDefault="003945D9">
            <w:pPr>
              <w:widowControl/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Michael Haralambos i Martin Holborn · </w:t>
            </w:r>
            <w:r>
              <w:rPr>
                <w:i/>
                <w:iCs/>
                <w:color w:val="000000"/>
                <w:sz w:val="17"/>
                <w:szCs w:val="18"/>
              </w:rPr>
              <w:t>Sociologija: teme i perspektive</w:t>
            </w:r>
            <w:r>
              <w:rPr>
                <w:color w:val="000000"/>
                <w:sz w:val="17"/>
                <w:szCs w:val="18"/>
              </w:rPr>
              <w:t xml:space="preserve"> (Zagreb: Golden marketing, 2002.), poglavlje: „Spol i rod” str. 126-196.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Robyn Ryle · </w:t>
            </w:r>
            <w:r>
              <w:rPr>
                <w:i/>
                <w:iCs/>
                <w:color w:val="000000"/>
                <w:sz w:val="17"/>
                <w:szCs w:val="18"/>
              </w:rPr>
              <w:t>Questioning Gender: A Sociological Exploration</w:t>
            </w:r>
            <w:r>
              <w:rPr>
                <w:color w:val="000000"/>
                <w:sz w:val="17"/>
                <w:szCs w:val="18"/>
              </w:rPr>
              <w:t xml:space="preserve"> (London: Sage-Pine Forge Press, 2012)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>Erving Goffman “The Arrangement between the Sexes” [</w:t>
            </w:r>
            <w:r>
              <w:rPr>
                <w:i/>
                <w:iCs/>
                <w:color w:val="000000"/>
                <w:sz w:val="17"/>
                <w:szCs w:val="18"/>
              </w:rPr>
              <w:t>Theory and Society</w:t>
            </w:r>
            <w:r>
              <w:rPr>
                <w:color w:val="000000"/>
                <w:sz w:val="17"/>
                <w:szCs w:val="18"/>
              </w:rPr>
              <w:t xml:space="preserve"> 4 (3) (Autumn</w:t>
            </w:r>
            <w:r>
              <w:rPr>
                <w:color w:val="000000"/>
                <w:sz w:val="17"/>
                <w:szCs w:val="18"/>
              </w:rPr>
              <w:t>, 1977), pp. 301-331]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sz w:val="17"/>
                <w:szCs w:val="18"/>
              </w:rPr>
              <w:t xml:space="preserve">Erving Goffman · </w:t>
            </w:r>
            <w:r>
              <w:rPr>
                <w:i/>
                <w:iCs/>
                <w:sz w:val="17"/>
                <w:szCs w:val="18"/>
              </w:rPr>
              <w:t>Gender Advertisements</w:t>
            </w:r>
            <w:r>
              <w:rPr>
                <w:sz w:val="17"/>
                <w:szCs w:val="18"/>
              </w:rPr>
              <w:t xml:space="preserve"> (New York: Harper &amp; Row, 1987/1976)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Harold Garfinkel “Passing and the managed achievement of sex status in an ‘intersexed’ person” (u: </w:t>
            </w:r>
            <w:r>
              <w:rPr>
                <w:i/>
                <w:iCs/>
                <w:color w:val="000000"/>
                <w:sz w:val="17"/>
                <w:szCs w:val="18"/>
              </w:rPr>
              <w:t xml:space="preserve">Studies in Ethnomethodology, </w:t>
            </w:r>
            <w:r>
              <w:rPr>
                <w:color w:val="000000"/>
                <w:sz w:val="17"/>
                <w:szCs w:val="18"/>
              </w:rPr>
              <w:t>Englewood Cliffs, NJ: Prentice-</w:t>
            </w:r>
            <w:r>
              <w:rPr>
                <w:color w:val="000000"/>
                <w:sz w:val="17"/>
                <w:szCs w:val="18"/>
              </w:rPr>
              <w:t>Hall Inc, 1967, pp. 116-185 + 285-288)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Amy S. Wharton · </w:t>
            </w:r>
            <w:r>
              <w:rPr>
                <w:i/>
                <w:iCs/>
                <w:color w:val="000000"/>
                <w:sz w:val="17"/>
                <w:szCs w:val="18"/>
              </w:rPr>
              <w:t>The Sociology of Gender. An Introduction to Theory and Research</w:t>
            </w:r>
            <w:r>
              <w:rPr>
                <w:color w:val="000000"/>
                <w:sz w:val="17"/>
                <w:szCs w:val="18"/>
              </w:rPr>
              <w:t xml:space="preserve"> (Malden MA, Oxford: Blackwell Publishing, 2005)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Raewyn Connell · </w:t>
            </w:r>
            <w:r>
              <w:rPr>
                <w:i/>
                <w:iCs/>
                <w:color w:val="000000"/>
                <w:sz w:val="17"/>
                <w:szCs w:val="18"/>
              </w:rPr>
              <w:t>Gender: In World Perspective 2</w:t>
            </w:r>
            <w:r>
              <w:rPr>
                <w:i/>
                <w:iCs/>
                <w:color w:val="000000"/>
                <w:sz w:val="17"/>
                <w:szCs w:val="18"/>
                <w:vertAlign w:val="superscript"/>
              </w:rPr>
              <w:t>nd</w:t>
            </w:r>
            <w:r>
              <w:rPr>
                <w:i/>
                <w:iCs/>
                <w:color w:val="000000"/>
                <w:sz w:val="17"/>
                <w:szCs w:val="18"/>
              </w:rPr>
              <w:t xml:space="preserve"> ed.</w:t>
            </w:r>
            <w:r>
              <w:rPr>
                <w:color w:val="000000"/>
                <w:sz w:val="17"/>
                <w:szCs w:val="18"/>
              </w:rPr>
              <w:t xml:space="preserve"> (Cambridge; Malden, MA: Polity, 20</w:t>
            </w:r>
            <w:r>
              <w:rPr>
                <w:color w:val="000000"/>
                <w:sz w:val="17"/>
                <w:szCs w:val="18"/>
              </w:rPr>
              <w:t>09)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Janet Saltzman Chafetz (ed.) · </w:t>
            </w:r>
            <w:r>
              <w:rPr>
                <w:i/>
                <w:iCs/>
                <w:color w:val="000000"/>
                <w:sz w:val="17"/>
                <w:szCs w:val="18"/>
              </w:rPr>
              <w:t>Handbook of the Sociology of Gender</w:t>
            </w:r>
            <w:r>
              <w:rPr>
                <w:color w:val="000000"/>
                <w:sz w:val="17"/>
                <w:szCs w:val="18"/>
              </w:rPr>
              <w:t xml:space="preserve"> (New York: Springer, 2006)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Mary Holmes · </w:t>
            </w:r>
            <w:r>
              <w:rPr>
                <w:i/>
                <w:iCs/>
                <w:color w:val="000000"/>
                <w:sz w:val="17"/>
                <w:szCs w:val="18"/>
              </w:rPr>
              <w:t>What is Gender? Sociological Approaches</w:t>
            </w:r>
            <w:r>
              <w:rPr>
                <w:color w:val="000000"/>
                <w:sz w:val="17"/>
                <w:szCs w:val="18"/>
              </w:rPr>
              <w:t xml:space="preserve"> (London: Sage, 2007)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Jodi O'Brian (ed.) · </w:t>
            </w:r>
            <w:r>
              <w:rPr>
                <w:i/>
                <w:iCs/>
                <w:color w:val="000000"/>
                <w:sz w:val="17"/>
                <w:szCs w:val="18"/>
              </w:rPr>
              <w:t>Encyclopedia of Gender and Society, vol. 1 &amp;2</w:t>
            </w:r>
            <w:r>
              <w:rPr>
                <w:color w:val="000000"/>
                <w:sz w:val="17"/>
                <w:szCs w:val="18"/>
              </w:rPr>
              <w:t xml:space="preserve"> (Thousand Oaks; </w:t>
            </w:r>
            <w:r>
              <w:rPr>
                <w:color w:val="000000"/>
                <w:sz w:val="17"/>
                <w:szCs w:val="18"/>
              </w:rPr>
              <w:t>London: Sage, 2009)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Suzane J. Kessler &amp; Wendy McKenna · </w:t>
            </w:r>
            <w:r>
              <w:rPr>
                <w:i/>
                <w:iCs/>
                <w:color w:val="000000"/>
                <w:sz w:val="17"/>
                <w:szCs w:val="18"/>
              </w:rPr>
              <w:t xml:space="preserve">Gender: An Ethnomethodological Approach </w:t>
            </w:r>
            <w:r>
              <w:rPr>
                <w:color w:val="000000"/>
                <w:sz w:val="17"/>
                <w:szCs w:val="18"/>
              </w:rPr>
              <w:t>(Chicago; London: The University of Chicago Press, 1978)</w:t>
            </w:r>
          </w:p>
          <w:p w:rsidR="005446AA" w:rsidRDefault="003945D9">
            <w:pPr>
              <w:ind w:left="680" w:hanging="68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Мирослава Малешевић · </w:t>
            </w:r>
            <w:r>
              <w:rPr>
                <w:i/>
                <w:iCs/>
                <w:color w:val="000000"/>
                <w:sz w:val="16"/>
                <w:szCs w:val="16"/>
              </w:rPr>
              <w:t>Женско: етнографски аспекти друштвеног положаја жена у Србији</w:t>
            </w:r>
            <w:r>
              <w:rPr>
                <w:color w:val="000000"/>
                <w:sz w:val="16"/>
                <w:szCs w:val="16"/>
              </w:rPr>
              <w:t xml:space="preserve"> (Београд: Српски ге</w:t>
            </w:r>
            <w:r>
              <w:rPr>
                <w:color w:val="000000"/>
                <w:sz w:val="16"/>
                <w:szCs w:val="16"/>
              </w:rPr>
              <w:t>неалошки центар, 2007.)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Сали и Руди Далос · </w:t>
            </w:r>
            <w:r>
              <w:rPr>
                <w:i/>
                <w:iCs/>
                <w:color w:val="000000"/>
                <w:sz w:val="17"/>
                <w:szCs w:val="18"/>
              </w:rPr>
              <w:t>Сeкс и мoћ: пaрoви, дoминaциja и сeксуaлнa мaнипулaциja</w:t>
            </w:r>
            <w:r>
              <w:rPr>
                <w:color w:val="000000"/>
                <w:sz w:val="17"/>
                <w:szCs w:val="18"/>
              </w:rPr>
              <w:t xml:space="preserve"> (Београд: Одисеја, 2011.)</w:t>
            </w:r>
          </w:p>
          <w:p w:rsidR="005446AA" w:rsidRDefault="003945D9">
            <w:pPr>
              <w:ind w:left="680" w:hanging="6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Randall Collins “A Theory of Sexual Interaction” in: </w:t>
            </w:r>
            <w:r>
              <w:rPr>
                <w:i/>
                <w:iCs/>
                <w:sz w:val="16"/>
                <w:szCs w:val="16"/>
              </w:rPr>
              <w:t>Interaction Ritual Chains</w:t>
            </w:r>
            <w:r>
              <w:rPr>
                <w:sz w:val="16"/>
                <w:szCs w:val="16"/>
              </w:rPr>
              <w:t xml:space="preserve">, Princeton&amp;Oxford: Princeton University Press, </w:t>
            </w:r>
            <w:r>
              <w:rPr>
                <w:sz w:val="16"/>
                <w:szCs w:val="16"/>
              </w:rPr>
              <w:t>2004, pp. 223-257)</w:t>
            </w:r>
          </w:p>
          <w:p w:rsidR="005446AA" w:rsidRDefault="003945D9">
            <w:pPr>
              <w:ind w:left="680" w:hanging="680"/>
              <w:rPr>
                <w:sz w:val="17"/>
                <w:szCs w:val="18"/>
              </w:rPr>
            </w:pPr>
            <w:r>
              <w:rPr>
                <w:sz w:val="17"/>
                <w:szCs w:val="18"/>
              </w:rPr>
              <w:t>Гилберт Херт „Трећи пол и трећи род” [</w:t>
            </w:r>
            <w:r>
              <w:rPr>
                <w:i/>
                <w:iCs/>
                <w:sz w:val="17"/>
                <w:szCs w:val="18"/>
              </w:rPr>
              <w:t>Култура</w:t>
            </w:r>
            <w:r>
              <w:rPr>
                <w:sz w:val="17"/>
                <w:szCs w:val="18"/>
              </w:rPr>
              <w:t xml:space="preserve"> 2002(105-106), стр. 63-131.]</w:t>
            </w:r>
          </w:p>
          <w:p w:rsidR="005446AA" w:rsidRDefault="003945D9">
            <w:pPr>
              <w:ind w:left="680" w:hanging="680"/>
              <w:rPr>
                <w:sz w:val="14"/>
                <w:szCs w:val="16"/>
              </w:rPr>
            </w:pPr>
            <w:r>
              <w:rPr>
                <w:sz w:val="16"/>
                <w:szCs w:val="16"/>
              </w:rPr>
              <w:t xml:space="preserve">Жарана Папић и Лидија Склевицки (прир.) · </w:t>
            </w:r>
            <w:r>
              <w:rPr>
                <w:i/>
                <w:iCs/>
                <w:sz w:val="16"/>
                <w:szCs w:val="16"/>
              </w:rPr>
              <w:t>Антропологија жене</w:t>
            </w:r>
            <w:r>
              <w:rPr>
                <w:sz w:val="14"/>
                <w:szCs w:val="16"/>
              </w:rPr>
              <w:t xml:space="preserve"> (Београд: Библиотека XX век; Књижара Круг; Центар за женске студије, 2003.)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sz w:val="17"/>
                <w:szCs w:val="18"/>
              </w:rPr>
              <w:t xml:space="preserve">Anthony Giddens · </w:t>
            </w:r>
            <w:r>
              <w:rPr>
                <w:i/>
                <w:iCs/>
                <w:sz w:val="17"/>
                <w:szCs w:val="18"/>
              </w:rPr>
              <w:t>The Tra</w:t>
            </w:r>
            <w:r>
              <w:rPr>
                <w:i/>
                <w:iCs/>
                <w:sz w:val="17"/>
                <w:szCs w:val="18"/>
              </w:rPr>
              <w:t>nsformation of Intimacy: Sexuality, Love &amp; Eroticism in Modern Societies</w:t>
            </w:r>
            <w:r>
              <w:rPr>
                <w:sz w:val="17"/>
                <w:szCs w:val="18"/>
              </w:rPr>
              <w:t xml:space="preserve"> (Cambridge: Polity Press, 1992)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Ulrich Beck &amp; Elisabeth Beck-Gernsheim · </w:t>
            </w:r>
            <w:r>
              <w:rPr>
                <w:i/>
                <w:iCs/>
                <w:color w:val="000000"/>
                <w:sz w:val="17"/>
                <w:szCs w:val="18"/>
              </w:rPr>
              <w:t>The Normal Chaos of Love</w:t>
            </w:r>
            <w:r>
              <w:rPr>
                <w:color w:val="000000"/>
                <w:sz w:val="17"/>
                <w:szCs w:val="18"/>
              </w:rPr>
              <w:t xml:space="preserve"> (Cambridge: Polity, 1995)</w:t>
            </w:r>
          </w:p>
          <w:p w:rsidR="005446AA" w:rsidRDefault="003945D9">
            <w:pPr>
              <w:ind w:left="680" w:hanging="680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Manuel Castells „Kraj patrijarhalnosti: društveni pokreti, </w:t>
            </w:r>
            <w:r>
              <w:rPr>
                <w:color w:val="000000"/>
                <w:sz w:val="16"/>
                <w:szCs w:val="16"/>
              </w:rPr>
              <w:t>obitelj i spolnost u informacijsko doba“</w:t>
            </w:r>
            <w:r>
              <w:rPr>
                <w:color w:val="000000"/>
                <w:sz w:val="14"/>
                <w:szCs w:val="16"/>
              </w:rPr>
              <w:t xml:space="preserve">, </w:t>
            </w:r>
            <w:r>
              <w:rPr>
                <w:i/>
                <w:iCs/>
                <w:color w:val="000000"/>
                <w:sz w:val="14"/>
                <w:szCs w:val="16"/>
              </w:rPr>
              <w:t>Moć identiteta</w:t>
            </w:r>
            <w:r>
              <w:rPr>
                <w:color w:val="000000"/>
                <w:sz w:val="14"/>
                <w:szCs w:val="16"/>
              </w:rPr>
              <w:t xml:space="preserve"> (Zagreb: Golden marketing, 2002, str. 140-247)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Весна Јарић и Надежда Радовић · </w:t>
            </w:r>
            <w:r>
              <w:rPr>
                <w:i/>
                <w:iCs/>
                <w:color w:val="000000"/>
                <w:sz w:val="17"/>
                <w:szCs w:val="18"/>
              </w:rPr>
              <w:t>Речник родне равноправности</w:t>
            </w:r>
            <w:r>
              <w:rPr>
                <w:color w:val="000000"/>
                <w:sz w:val="17"/>
                <w:szCs w:val="18"/>
              </w:rPr>
              <w:t xml:space="preserve"> (Београд: Управа за родну равноправност Републике Србије, 2011.)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R.W. Connell · </w:t>
            </w:r>
            <w:r>
              <w:rPr>
                <w:i/>
                <w:iCs/>
                <w:color w:val="000000"/>
                <w:sz w:val="17"/>
                <w:szCs w:val="18"/>
              </w:rPr>
              <w:t>Masculinities</w:t>
            </w:r>
            <w:r>
              <w:rPr>
                <w:color w:val="000000"/>
                <w:sz w:val="17"/>
                <w:szCs w:val="18"/>
              </w:rPr>
              <w:t xml:space="preserve"> </w:t>
            </w:r>
            <w:r>
              <w:rPr>
                <w:i/>
                <w:iCs/>
                <w:color w:val="000000"/>
                <w:sz w:val="17"/>
                <w:szCs w:val="18"/>
              </w:rPr>
              <w:t>2</w:t>
            </w:r>
            <w:r>
              <w:rPr>
                <w:i/>
                <w:iCs/>
                <w:color w:val="000000"/>
                <w:sz w:val="17"/>
                <w:szCs w:val="18"/>
                <w:vertAlign w:val="superscript"/>
              </w:rPr>
              <w:t>nd</w:t>
            </w:r>
            <w:r>
              <w:rPr>
                <w:i/>
                <w:iCs/>
                <w:color w:val="000000"/>
                <w:sz w:val="17"/>
                <w:szCs w:val="18"/>
              </w:rPr>
              <w:t xml:space="preserve"> ed.</w:t>
            </w:r>
            <w:r>
              <w:rPr>
                <w:color w:val="000000"/>
                <w:sz w:val="17"/>
                <w:szCs w:val="18"/>
              </w:rPr>
              <w:t xml:space="preserve"> (Berkeley, Los Angeles: University of California Press, 2005)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Вoлфгaнг Шмaлe · </w:t>
            </w:r>
            <w:r>
              <w:rPr>
                <w:i/>
                <w:iCs/>
                <w:color w:val="000000"/>
                <w:sz w:val="17"/>
                <w:szCs w:val="18"/>
              </w:rPr>
              <w:t>Истoриja мушкoсти у Eврoпи (1450-2000)</w:t>
            </w:r>
            <w:r>
              <w:rPr>
                <w:color w:val="000000"/>
                <w:sz w:val="17"/>
                <w:szCs w:val="18"/>
              </w:rPr>
              <w:t xml:space="preserve"> (Бeoгрaд: CLIO, 2011.)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Гизела Бок · </w:t>
            </w:r>
            <w:r>
              <w:rPr>
                <w:i/>
                <w:iCs/>
                <w:color w:val="000000"/>
                <w:sz w:val="17"/>
                <w:szCs w:val="18"/>
              </w:rPr>
              <w:t>Жена у историји Европе</w:t>
            </w:r>
            <w:r>
              <w:rPr>
                <w:color w:val="000000"/>
                <w:sz w:val="17"/>
                <w:szCs w:val="18"/>
              </w:rPr>
              <w:t xml:space="preserve"> (Београд: CLIO, 2005.)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>Душaн И. Бjeлић и Лусинда Коул „Се</w:t>
            </w:r>
            <w:r>
              <w:rPr>
                <w:color w:val="000000"/>
                <w:sz w:val="17"/>
                <w:szCs w:val="18"/>
              </w:rPr>
              <w:t xml:space="preserve">ксуализовање Срба” (у: Д. Бjeлић и O. Сaвић (ур.) </w:t>
            </w:r>
            <w:r>
              <w:rPr>
                <w:i/>
                <w:iCs/>
                <w:color w:val="000000"/>
                <w:sz w:val="17"/>
                <w:szCs w:val="18"/>
              </w:rPr>
              <w:t>Бaлкaн кao мeтaфoрa: Измeђу глoбaлизaциje и фрaгмeнтaциje</w:t>
            </w:r>
            <w:r>
              <w:rPr>
                <w:color w:val="000000"/>
                <w:sz w:val="17"/>
                <w:szCs w:val="18"/>
              </w:rPr>
              <w:t>, Бeoгрaд: Бeoгрaдски круг, 2003, стр. 353-387.)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sz w:val="17"/>
                <w:szCs w:val="18"/>
              </w:rPr>
              <w:t xml:space="preserve">Tea Nikolić “Serbian sexual response: gender and sexuality in Serbia during the 1990s” u: Aleksandar Štulhofer &amp; Theo Sandfort (eds.) </w:t>
            </w:r>
            <w:r>
              <w:rPr>
                <w:i/>
                <w:iCs/>
                <w:sz w:val="17"/>
                <w:szCs w:val="18"/>
              </w:rPr>
              <w:t>Sexuality and gender in postcommunist Eastern Europe and Russia</w:t>
            </w:r>
            <w:r>
              <w:rPr>
                <w:sz w:val="17"/>
                <w:szCs w:val="18"/>
              </w:rPr>
              <w:t xml:space="preserve"> (New York: Haworth Press, 2005, pp. 125-147)</w:t>
            </w:r>
          </w:p>
          <w:p w:rsidR="005446AA" w:rsidRDefault="003945D9">
            <w:pPr>
              <w:ind w:left="680" w:hanging="68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Адриана Захар</w:t>
            </w:r>
            <w:r>
              <w:rPr>
                <w:color w:val="000000"/>
                <w:sz w:val="16"/>
                <w:szCs w:val="16"/>
              </w:rPr>
              <w:t xml:space="preserve">ијевић (прир.) · </w:t>
            </w:r>
            <w:r>
              <w:rPr>
                <w:i/>
                <w:iCs/>
                <w:color w:val="000000"/>
                <w:sz w:val="16"/>
                <w:szCs w:val="16"/>
              </w:rPr>
              <w:t xml:space="preserve">Неко је рекао феминизам? Како је феминизам утицао на жене XXI века </w:t>
            </w:r>
            <w:r>
              <w:rPr>
                <w:color w:val="000000"/>
                <w:sz w:val="16"/>
                <w:szCs w:val="16"/>
              </w:rPr>
              <w:t>(Београд: Heinrich Böll Stiftung, 2008)</w:t>
            </w:r>
          </w:p>
          <w:p w:rsidR="005446AA" w:rsidRDefault="003945D9">
            <w:pPr>
              <w:ind w:left="680" w:hanging="680"/>
              <w:rPr>
                <w:color w:val="000000"/>
                <w:sz w:val="17"/>
                <w:szCs w:val="18"/>
              </w:rPr>
            </w:pPr>
            <w:r>
              <w:rPr>
                <w:color w:val="000000"/>
                <w:sz w:val="17"/>
                <w:szCs w:val="18"/>
              </w:rPr>
              <w:t xml:space="preserve">Александар Штулхофер „Увод у разумијевање сексуалне оријентације“, у: Теа Николић (ур.) </w:t>
            </w:r>
            <w:r>
              <w:rPr>
                <w:i/>
                <w:iCs/>
                <w:color w:val="000000"/>
                <w:sz w:val="17"/>
                <w:szCs w:val="18"/>
              </w:rPr>
              <w:t>Како се оријентишемо: студија о сексуалној о</w:t>
            </w:r>
            <w:r>
              <w:rPr>
                <w:i/>
                <w:iCs/>
                <w:color w:val="000000"/>
                <w:sz w:val="17"/>
                <w:szCs w:val="18"/>
              </w:rPr>
              <w:t>ријентацији</w:t>
            </w:r>
            <w:r>
              <w:rPr>
                <w:color w:val="000000"/>
                <w:sz w:val="17"/>
                <w:szCs w:val="18"/>
              </w:rPr>
              <w:t xml:space="preserve"> (Београд: Деве, 2004, стр. 7-31.)</w:t>
            </w:r>
          </w:p>
          <w:p w:rsidR="005446AA" w:rsidRDefault="003945D9">
            <w:pPr>
              <w:tabs>
                <w:tab w:val="left" w:pos="567"/>
              </w:tabs>
              <w:spacing w:after="60"/>
              <w:ind w:left="624" w:hanging="624"/>
              <w:rPr>
                <w:bCs/>
                <w:sz w:val="18"/>
                <w:szCs w:val="18"/>
                <w:lang w:val="sr-Cyrl-RS"/>
              </w:rPr>
            </w:pPr>
            <w:r>
              <w:rPr>
                <w:color w:val="000000"/>
                <w:sz w:val="17"/>
                <w:szCs w:val="18"/>
              </w:rPr>
              <w:t xml:space="preserve">Gilbert Herdt (ed.) · </w:t>
            </w:r>
            <w:r>
              <w:rPr>
                <w:i/>
                <w:iCs/>
                <w:color w:val="000000"/>
                <w:sz w:val="17"/>
                <w:szCs w:val="18"/>
              </w:rPr>
              <w:t>Third Sex, Third Gender. Beyond Sexual Dimorphism in Culture and History</w:t>
            </w:r>
            <w:r>
              <w:rPr>
                <w:color w:val="000000"/>
                <w:sz w:val="17"/>
                <w:szCs w:val="18"/>
              </w:rPr>
              <w:t xml:space="preserve"> (New York: Zone Books, 1993)</w:t>
            </w:r>
          </w:p>
        </w:tc>
      </w:tr>
      <w:tr w:rsidR="005446AA">
        <w:trPr>
          <w:trHeight w:val="227"/>
          <w:jc w:val="center"/>
        </w:trPr>
        <w:tc>
          <w:tcPr>
            <w:tcW w:w="3146" w:type="dxa"/>
            <w:vAlign w:val="center"/>
          </w:tcPr>
          <w:p w:rsidR="005446AA" w:rsidRDefault="003945D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5446AA" w:rsidRDefault="003945D9">
            <w:pPr>
              <w:tabs>
                <w:tab w:val="left" w:pos="567"/>
              </w:tabs>
              <w:rPr>
                <w:b/>
                <w:bCs/>
                <w:lang w:val="sr-Latn-RS"/>
              </w:rPr>
            </w:pPr>
            <w:r>
              <w:rPr>
                <w:b/>
                <w:lang w:val="sr-Cyrl-RS"/>
              </w:rPr>
              <w:t>Теоријска настава:</w:t>
            </w:r>
            <w:r>
              <w:rPr>
                <w:b/>
                <w:lang w:val="sr-Latn-RS"/>
              </w:rPr>
              <w:t xml:space="preserve"> </w:t>
            </w:r>
            <w:r>
              <w:rPr>
                <w:lang w:val="sr-Latn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5446AA" w:rsidRDefault="003945D9">
            <w:pPr>
              <w:tabs>
                <w:tab w:val="left" w:pos="567"/>
              </w:tabs>
              <w:rPr>
                <w:b/>
                <w:bCs/>
                <w:lang w:val="sr-Latn-RS"/>
              </w:rPr>
            </w:pPr>
            <w:r>
              <w:rPr>
                <w:b/>
                <w:lang w:val="sr-Cyrl-RS"/>
              </w:rPr>
              <w:t>Практична настава:</w:t>
            </w:r>
            <w:r>
              <w:rPr>
                <w:b/>
                <w:lang w:val="sr-Latn-RS"/>
              </w:rPr>
              <w:t xml:space="preserve"> </w:t>
            </w:r>
            <w:r>
              <w:rPr>
                <w:lang w:val="sr-Latn-RS"/>
              </w:rPr>
              <w:t>2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Методе </w:t>
            </w:r>
            <w:r>
              <w:rPr>
                <w:b/>
                <w:bCs/>
                <w:lang w:val="sr-Cyrl-RS"/>
              </w:rPr>
              <w:t>извођења наставе</w:t>
            </w:r>
          </w:p>
          <w:p w:rsidR="005446AA" w:rsidRDefault="003945D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Предавања, </w:t>
            </w:r>
            <w:r>
              <w:rPr>
                <w:i/>
                <w:sz w:val="18"/>
                <w:szCs w:val="18"/>
                <w:lang w:val="sr-Cyrl-RS"/>
              </w:rPr>
              <w:t>PowerPoint</w:t>
            </w:r>
            <w:r>
              <w:rPr>
                <w:sz w:val="18"/>
                <w:szCs w:val="18"/>
                <w:lang w:val="sr-Cyrl-RS"/>
              </w:rPr>
              <w:t xml:space="preserve"> презентације, aнализa одабраних одломака из обавезне и шире литературе, интерпретацијa статистичких табела и графикона о родним неједнакостима у Србији, кратке анализе филмова, медијских (аудио и видео) материјала и књижевних текстова из родне перспективе</w:t>
            </w:r>
            <w:r>
              <w:rPr>
                <w:sz w:val="18"/>
                <w:szCs w:val="18"/>
                <w:lang w:val="sr-Cyrl-RS"/>
              </w:rPr>
              <w:t>, као и тематске дискусије о породици, раду, сексуалности, насиљу, женскостима и мушкостима.</w:t>
            </w:r>
          </w:p>
        </w:tc>
      </w:tr>
      <w:tr w:rsidR="005446AA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5446AA" w:rsidRDefault="003945D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5446AA">
        <w:trPr>
          <w:trHeight w:val="227"/>
          <w:jc w:val="center"/>
        </w:trPr>
        <w:tc>
          <w:tcPr>
            <w:tcW w:w="3146" w:type="dxa"/>
          </w:tcPr>
          <w:p w:rsidR="005446AA" w:rsidRDefault="003945D9">
            <w:pPr>
              <w:tabs>
                <w:tab w:val="left" w:pos="567"/>
              </w:tabs>
              <w:rPr>
                <w:b/>
                <w:iCs/>
                <w:lang w:val="sr-Cyrl-RS"/>
              </w:rPr>
            </w:pPr>
            <w:r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:rsidR="005446AA" w:rsidRDefault="003945D9">
            <w:pPr>
              <w:tabs>
                <w:tab w:val="left" w:pos="567"/>
              </w:tabs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поена</w:t>
            </w:r>
          </w:p>
          <w:p w:rsidR="005446AA" w:rsidRDefault="005446AA">
            <w:pPr>
              <w:tabs>
                <w:tab w:val="left" w:pos="567"/>
              </w:tabs>
              <w:jc w:val="center"/>
              <w:rPr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5446AA" w:rsidRDefault="003945D9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5446AA" w:rsidRDefault="003945D9">
            <w:pPr>
              <w:tabs>
                <w:tab w:val="left" w:pos="567"/>
              </w:tabs>
              <w:jc w:val="center"/>
              <w:rPr>
                <w:bCs/>
                <w:lang w:val="sr-Cyrl-RS"/>
              </w:rPr>
            </w:pPr>
            <w:r>
              <w:rPr>
                <w:lang w:val="sr-Cyrl-RS"/>
              </w:rPr>
              <w:t>поена</w:t>
            </w:r>
          </w:p>
        </w:tc>
      </w:tr>
      <w:tr w:rsidR="005446AA">
        <w:trPr>
          <w:trHeight w:val="227"/>
          <w:jc w:val="center"/>
        </w:trPr>
        <w:tc>
          <w:tcPr>
            <w:tcW w:w="3146" w:type="dxa"/>
            <w:vAlign w:val="center"/>
          </w:tcPr>
          <w:p w:rsidR="005446AA" w:rsidRDefault="003945D9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5446AA" w:rsidRDefault="003945D9">
            <w:pPr>
              <w:tabs>
                <w:tab w:val="left" w:pos="567"/>
              </w:tabs>
              <w:jc w:val="center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446AA" w:rsidRDefault="003945D9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5446AA" w:rsidRDefault="003945D9">
            <w:pPr>
              <w:tabs>
                <w:tab w:val="left" w:pos="567"/>
              </w:tabs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60</w:t>
            </w:r>
          </w:p>
        </w:tc>
      </w:tr>
      <w:tr w:rsidR="005446AA">
        <w:trPr>
          <w:trHeight w:val="227"/>
          <w:jc w:val="center"/>
        </w:trPr>
        <w:tc>
          <w:tcPr>
            <w:tcW w:w="3146" w:type="dxa"/>
            <w:vAlign w:val="center"/>
          </w:tcPr>
          <w:p w:rsidR="005446AA" w:rsidRDefault="003945D9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5446AA" w:rsidRDefault="003945D9">
            <w:pPr>
              <w:tabs>
                <w:tab w:val="left" w:pos="567"/>
              </w:tabs>
              <w:jc w:val="center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446AA" w:rsidRDefault="005446AA">
            <w:pPr>
              <w:tabs>
                <w:tab w:val="left" w:pos="567"/>
              </w:tabs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5446AA" w:rsidRDefault="005446AA">
            <w:pPr>
              <w:tabs>
                <w:tab w:val="left" w:pos="567"/>
              </w:tabs>
              <w:jc w:val="center"/>
              <w:rPr>
                <w:i/>
                <w:iCs/>
                <w:lang w:val="sr-Cyrl-RS"/>
              </w:rPr>
            </w:pPr>
          </w:p>
        </w:tc>
      </w:tr>
    </w:tbl>
    <w:p w:rsidR="005446AA" w:rsidRDefault="005446AA">
      <w:pPr>
        <w:rPr>
          <w:bCs/>
          <w:lang w:val="sr-Cyrl-RS"/>
        </w:rPr>
      </w:pPr>
    </w:p>
    <w:sectPr w:rsidR="005446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5D9" w:rsidRDefault="003945D9">
      <w:r>
        <w:separator/>
      </w:r>
    </w:p>
  </w:endnote>
  <w:endnote w:type="continuationSeparator" w:id="0">
    <w:p w:rsidR="003945D9" w:rsidRDefault="0039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6AA" w:rsidRDefault="005446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6AA" w:rsidRDefault="003945D9">
    <w:pPr>
      <w:pStyle w:val="Footer"/>
      <w:jc w:val="center"/>
      <w:rPr>
        <w:lang w:val="sr-Cyrl-RS"/>
      </w:rPr>
    </w:pPr>
    <w:r>
      <w:t>www.filfak.ni.ac.rs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6AA" w:rsidRDefault="005446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5D9" w:rsidRDefault="003945D9">
      <w:r>
        <w:separator/>
      </w:r>
    </w:p>
  </w:footnote>
  <w:footnote w:type="continuationSeparator" w:id="0">
    <w:p w:rsidR="003945D9" w:rsidRDefault="00394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6AA" w:rsidRDefault="005446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6AA" w:rsidRDefault="005446AA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5446AA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5446AA" w:rsidRDefault="003945D9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5446AA" w:rsidRDefault="003945D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5446AA" w:rsidRDefault="003945D9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5446AA" w:rsidRDefault="003945D9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446AA">
      <w:trPr>
        <w:trHeight w:val="467"/>
        <w:jc w:val="center"/>
      </w:trPr>
      <w:tc>
        <w:tcPr>
          <w:tcW w:w="1515" w:type="dxa"/>
          <w:vMerge/>
        </w:tcPr>
        <w:p w:rsidR="005446AA" w:rsidRDefault="005446AA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5446AA" w:rsidRDefault="003945D9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5446AA" w:rsidRDefault="005446AA">
          <w:pPr>
            <w:pStyle w:val="Header"/>
            <w:jc w:val="right"/>
            <w:rPr>
              <w:lang w:val="sr-Cyrl-CS"/>
            </w:rPr>
          </w:pPr>
        </w:p>
      </w:tc>
    </w:tr>
    <w:tr w:rsidR="005446AA">
      <w:trPr>
        <w:trHeight w:val="449"/>
        <w:jc w:val="center"/>
      </w:trPr>
      <w:tc>
        <w:tcPr>
          <w:tcW w:w="1515" w:type="dxa"/>
          <w:vMerge/>
        </w:tcPr>
        <w:p w:rsidR="005446AA" w:rsidRDefault="005446AA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5446AA" w:rsidRDefault="003945D9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5446AA" w:rsidRDefault="005446AA">
          <w:pPr>
            <w:pStyle w:val="Header"/>
            <w:jc w:val="right"/>
            <w:rPr>
              <w:lang w:val="sr-Cyrl-CS"/>
            </w:rPr>
          </w:pPr>
        </w:p>
      </w:tc>
    </w:tr>
  </w:tbl>
  <w:p w:rsidR="005446AA" w:rsidRDefault="005446AA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6AA" w:rsidRDefault="005446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8217FD"/>
    <w:multiLevelType w:val="hybridMultilevel"/>
    <w:tmpl w:val="FDB8021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25D21"/>
    <w:multiLevelType w:val="hybridMultilevel"/>
    <w:tmpl w:val="BD46BDC6"/>
    <w:lvl w:ilvl="0" w:tplc="A788A19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B0621E"/>
    <w:multiLevelType w:val="hybridMultilevel"/>
    <w:tmpl w:val="EF1220B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6AA"/>
    <w:rsid w:val="003945D9"/>
    <w:rsid w:val="005446AA"/>
    <w:rsid w:val="00FB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color w:val="4472C4" w:themeColor="accent1"/>
      <w:lang w:val="sr-Latn-CS" w:eastAsia="sr-Latn-C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color w:val="4472C4" w:themeColor="accent1"/>
      <w:lang w:val="sr-Latn-CS" w:eastAsia="sr-Latn-C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2026-06-11T01:19:00Z</dcterms:created>
  <dcterms:modified xsi:type="dcterms:W3CDTF">2026-06-11T01:19:00Z</dcterms:modified>
</cp:coreProperties>
</file>